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STGM Derneği  Afet Risk Yönetiminde Sivil Toplum Örgütlerinin Kapasitesinin Desteklenmesi Projesi Programı Bağımsız Değerlendiriciler İçin Görev Tanımı</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 Başlığı: </w:t>
      </w:r>
      <w:r w:rsidDel="00000000" w:rsidR="00000000" w:rsidRPr="00000000">
        <w:rPr>
          <w:rFonts w:ascii="Times New Roman" w:cs="Times New Roman" w:eastAsia="Times New Roman" w:hAnsi="Times New Roman"/>
          <w:sz w:val="24"/>
          <w:szCs w:val="24"/>
          <w:rtl w:val="0"/>
        </w:rPr>
        <w:t xml:space="preserve">“Afet Risk Yönetiminde Sivil Toplum Örgütlerinin Kapasitesinin Desteklenmesi Projesi  </w:t>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Pozisyon Başlığı: </w:t>
      </w:r>
      <w:r w:rsidDel="00000000" w:rsidR="00000000" w:rsidRPr="00000000">
        <w:rPr>
          <w:rFonts w:ascii="Times New Roman" w:cs="Times New Roman" w:eastAsia="Times New Roman" w:hAnsi="Times New Roman"/>
          <w:sz w:val="24"/>
          <w:szCs w:val="24"/>
          <w:rtl w:val="0"/>
        </w:rPr>
        <w:t xml:space="preserve">Afet Risk Yönetiminde Sivil Toplum Örgütlerinin Kapasitesinin Desteklenmesi Projesi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STÖ'ler için Afet Riskinin Azaltılması Alt Hibe Programı</w:t>
      </w:r>
      <w:r w:rsidDel="00000000" w:rsidR="00000000" w:rsidRPr="00000000">
        <w:rPr>
          <w:rFonts w:ascii="Times New Roman" w:cs="Times New Roman" w:eastAsia="Times New Roman" w:hAnsi="Times New Roman"/>
          <w:sz w:val="24"/>
          <w:szCs w:val="24"/>
          <w:rtl w:val="0"/>
        </w:rPr>
        <w:t xml:space="preserve">” Bağımsız Değerlendirici</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Sözleşme numarası: </w:t>
      </w:r>
      <w:r w:rsidDel="00000000" w:rsidR="00000000" w:rsidRPr="00000000">
        <w:rPr>
          <w:rFonts w:ascii="Times New Roman" w:cs="Times New Roman" w:eastAsia="Times New Roman" w:hAnsi="Times New Roman"/>
          <w:rtl w:val="0"/>
        </w:rPr>
        <w:t xml:space="preserve">IPA III/2023/442-877 / Supporting the Capacity of Civil Society Organisations (CSOs) in Disaster Risk Management</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Arka Plan ve Amaç̧:</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53842"/>
          <w:sz w:val="24"/>
          <w:szCs w:val="24"/>
          <w:rtl w:val="0"/>
        </w:rPr>
        <w:t xml:space="preserve">Afet Risk Yönetiminde Sivil Toplum Örgütlerinin Kapasitesinin Desteklenmesi Projesi Avrupa Komisyonu desteğiyle </w:t>
      </w:r>
      <w:r w:rsidDel="00000000" w:rsidR="00000000" w:rsidRPr="00000000">
        <w:rPr>
          <w:rFonts w:ascii="Times New Roman" w:cs="Times New Roman" w:eastAsia="Times New Roman" w:hAnsi="Times New Roman"/>
          <w:b w:val="1"/>
          <w:color w:val="353842"/>
          <w:sz w:val="24"/>
          <w:szCs w:val="24"/>
          <w:rtl w:val="0"/>
        </w:rPr>
        <w:t xml:space="preserve">Sivil Toplum Geliştirme Merkezi Derneği (STGM) </w:t>
      </w:r>
      <w:r w:rsidDel="00000000" w:rsidR="00000000" w:rsidRPr="00000000">
        <w:rPr>
          <w:rFonts w:ascii="Times New Roman" w:cs="Times New Roman" w:eastAsia="Times New Roman" w:hAnsi="Times New Roman"/>
          <w:color w:val="353842"/>
          <w:sz w:val="24"/>
          <w:szCs w:val="24"/>
          <w:rtl w:val="0"/>
        </w:rPr>
        <w:t xml:space="preserve">tarafından uygulanan bir hibe projesidir. Proje Avrupa Birliği’nin </w:t>
      </w:r>
      <w:r w:rsidDel="00000000" w:rsidR="00000000" w:rsidRPr="00000000">
        <w:rPr>
          <w:rFonts w:ascii="Times New Roman" w:cs="Times New Roman" w:eastAsia="Times New Roman" w:hAnsi="Times New Roman"/>
          <w:i w:val="1"/>
          <w:color w:val="353842"/>
          <w:sz w:val="24"/>
          <w:szCs w:val="24"/>
          <w:rtl w:val="0"/>
        </w:rPr>
        <w:t xml:space="preserve">“Sivil Toplum Aracı ve Medya 2021-2023 Türkiye’de Afet Risk Yönetiminde Sivil Toplumun Kapasitesinin Geliştirilmesi” </w:t>
      </w:r>
      <w:r w:rsidDel="00000000" w:rsidR="00000000" w:rsidRPr="00000000">
        <w:rPr>
          <w:rFonts w:ascii="Times New Roman" w:cs="Times New Roman" w:eastAsia="Times New Roman" w:hAnsi="Times New Roman"/>
          <w:color w:val="353842"/>
          <w:sz w:val="24"/>
          <w:szCs w:val="24"/>
          <w:rtl w:val="0"/>
        </w:rPr>
        <w:t xml:space="preserve">çağrısının hedefleri ve öncelikleri doğrultusunda geliştirilip uygulanmaya başlanmıştır. Çağrı özel olarak afet risk yönetimi alanında çalışan STÖ’lerin desteklenmesini, bununla birlikte diğer tüm STÖ’lerin afet risk yönetimi alanında kapasitelerinin iyileştirilmesini de hedeflemektedir.</w:t>
      </w:r>
      <w:r w:rsidDel="00000000" w:rsidR="00000000" w:rsidRPr="00000000">
        <w:rPr>
          <w:rtl w:val="0"/>
        </w:rPr>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53842"/>
          <w:sz w:val="24"/>
          <w:szCs w:val="24"/>
          <w:rtl w:val="0"/>
        </w:rPr>
        <w:t xml:space="preserve">Bu hedefler doğrultusunda, </w:t>
      </w:r>
      <w:r w:rsidDel="00000000" w:rsidR="00000000" w:rsidRPr="00000000">
        <w:rPr>
          <w:rFonts w:ascii="Times New Roman" w:cs="Times New Roman" w:eastAsia="Times New Roman" w:hAnsi="Times New Roman"/>
          <w:b w:val="1"/>
          <w:color w:val="353842"/>
          <w:sz w:val="24"/>
          <w:szCs w:val="24"/>
          <w:rtl w:val="0"/>
        </w:rPr>
        <w:t xml:space="preserve">Afet Risk Yönetiminde Sivil Toplum Örgütlerinin Kapasitesinin Desteklenmesi Projesi, </w:t>
      </w:r>
      <w:r w:rsidDel="00000000" w:rsidR="00000000" w:rsidRPr="00000000">
        <w:rPr>
          <w:rFonts w:ascii="Times New Roman" w:cs="Times New Roman" w:eastAsia="Times New Roman" w:hAnsi="Times New Roman"/>
          <w:color w:val="353842"/>
          <w:sz w:val="24"/>
          <w:szCs w:val="24"/>
          <w:rtl w:val="0"/>
        </w:rPr>
        <w:t xml:space="preserve">Türkiye’de sivil toplum örgütlerinin (STÖ) afetlere karşı önleme, hazırlık ve müdahale kapasitelerini artırmayı amaçlamaktadır. Bu çerçevede proje faaliyetleriyle sunulan destekler sonucunda STÖ’lerin doğal ve insan kaynaklı afetlerle mücadelede uluslararası standartları benimsemesi, afet risk yönetimini kurumsal politikalarına dahil etmesi, bu alandaki işbirliklerini artırması, böylece STÖ’lerin olası gelecek afetlere daha etkili, koordineli ve ilkeli bir şekilde müdahale etmeleri hedeflenmektedir. </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STGM, </w:t>
      </w:r>
      <w:r w:rsidDel="00000000" w:rsidR="00000000" w:rsidRPr="00000000">
        <w:rPr>
          <w:rFonts w:ascii="Times New Roman" w:cs="Times New Roman" w:eastAsia="Times New Roman" w:hAnsi="Times New Roman"/>
          <w:color w:val="353842"/>
          <w:sz w:val="24"/>
          <w:szCs w:val="24"/>
          <w:rtl w:val="0"/>
        </w:rPr>
        <w:t xml:space="preserve">Afet Risk Yönetiminde Sivil Toplum Örgütlerinin Kapasitesinin Desteklenmesi Projesi-ARY’nin</w:t>
      </w:r>
      <w:r w:rsidDel="00000000" w:rsidR="00000000" w:rsidRPr="00000000">
        <w:rPr>
          <w:rFonts w:ascii="Times New Roman" w:cs="Times New Roman" w:eastAsia="Times New Roman" w:hAnsi="Times New Roman"/>
          <w:sz w:val="24"/>
          <w:szCs w:val="24"/>
          <w:rtl w:val="0"/>
        </w:rPr>
        <w:t xml:space="preserve"> Sözleşme Makamı olarak hareket edecek ve programın idari, mali ve teknik açıdan uygulanmasından sorumlu olacaktır. Programa iletilen başvuruların değerlendirilmesi süreci de STGM yönetiminde gerçekleştirilecektir. İletilen başvurular arasından Programın hedeflerine en uygun başvuruların önceden belirlenmiş̧ değerlendirme kriterlerine göre seçilebilmesi ve değerlendirme surecinin kaliteli, doğru ve tutarlı şekilde yürütülebilmesi için Sözleşme Makamına destek olacak bağımsız değerlendiriciler istihdam edilecektir. </w:t>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Değerlendiriciler için Gerekli Nitelikler</w:t>
      </w:r>
    </w:p>
    <w:p w:rsidR="00000000" w:rsidDel="00000000" w:rsidP="00000000" w:rsidRDefault="00000000" w:rsidRPr="00000000" w14:paraId="00000010">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Değerlendirme sürecinde yer alacak uzmanların aşağıdaki niteliklere sahip olması gerekmektedir;</w:t>
      </w:r>
    </w:p>
    <w:p w:rsidR="00000000" w:rsidDel="00000000" w:rsidP="00000000" w:rsidRDefault="00000000" w:rsidRPr="00000000" w14:paraId="00000011">
      <w:pPr>
        <w:numPr>
          <w:ilvl w:val="0"/>
          <w:numId w:val="2"/>
        </w:numPr>
        <w:spacing w:after="160" w:line="278.0000000000000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az lisans derecesine sahip olmak ,</w:t>
      </w:r>
    </w:p>
    <w:p w:rsidR="00000000" w:rsidDel="00000000" w:rsidP="00000000" w:rsidRDefault="00000000" w:rsidRPr="00000000" w14:paraId="00000012">
      <w:pPr>
        <w:numPr>
          <w:ilvl w:val="0"/>
          <w:numId w:val="2"/>
        </w:numPr>
        <w:spacing w:after="160" w:line="278.0000000000000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az 10 yıllık profesyonel iş deneyimine sahip olmak,</w:t>
      </w:r>
    </w:p>
    <w:p w:rsidR="00000000" w:rsidDel="00000000" w:rsidP="00000000" w:rsidRDefault="00000000" w:rsidRPr="00000000" w14:paraId="00000013">
      <w:pPr>
        <w:numPr>
          <w:ilvl w:val="0"/>
          <w:numId w:val="2"/>
        </w:numPr>
        <w:spacing w:after="160" w:line="278.0000000000000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az 5 yıllık sivil toplum deneyimine ve/</w:t>
      </w:r>
      <w:r w:rsidDel="00000000" w:rsidR="00000000" w:rsidRPr="00000000">
        <w:rPr>
          <w:rFonts w:ascii="Times New Roman" w:cs="Times New Roman" w:eastAsia="Times New Roman" w:hAnsi="Times New Roman"/>
          <w:sz w:val="24"/>
          <w:szCs w:val="24"/>
          <w:rtl w:val="0"/>
        </w:rPr>
        <w:t xml:space="preserve">veya sosyal/siyasal bilimler alanında deneyime sahip olmak,</w:t>
      </w:r>
      <w:r w:rsidDel="00000000" w:rsidR="00000000" w:rsidRPr="00000000">
        <w:rPr>
          <w:rtl w:val="0"/>
        </w:rPr>
      </w:r>
    </w:p>
    <w:p w:rsidR="00000000" w:rsidDel="00000000" w:rsidP="00000000" w:rsidRDefault="00000000" w:rsidRPr="00000000" w14:paraId="00000014">
      <w:pPr>
        <w:numPr>
          <w:ilvl w:val="0"/>
          <w:numId w:val="2"/>
        </w:numPr>
        <w:spacing w:after="160" w:line="278.0000000000000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 hibe projeleri ve teknik yardım projelerinde en az 3 yıl deneyime sahip olmak,</w:t>
      </w:r>
    </w:p>
    <w:p w:rsidR="00000000" w:rsidDel="00000000" w:rsidP="00000000" w:rsidRDefault="00000000" w:rsidRPr="00000000" w14:paraId="00000015">
      <w:pPr>
        <w:spacing w:after="160" w:line="278.0000000000000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Aşağıda sıralanan nitelikler ise tercih sebebi olacaktır:</w:t>
      </w:r>
      <w:r w:rsidDel="00000000" w:rsidR="00000000" w:rsidRPr="00000000">
        <w:rPr>
          <w:rtl w:val="0"/>
        </w:rPr>
      </w:r>
    </w:p>
    <w:p w:rsidR="00000000" w:rsidDel="00000000" w:rsidP="00000000" w:rsidRDefault="00000000" w:rsidRPr="00000000" w14:paraId="00000017">
      <w:pPr>
        <w:numPr>
          <w:ilvl w:val="0"/>
          <w:numId w:val="3"/>
        </w:numPr>
        <w:spacing w:after="160" w:line="278.0000000000000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Daha önce sivil topluma yönelik uygulanan hibe programlarında en az 2 kere değerlendirici olarak yer almış olmak.</w:t>
      </w:r>
    </w:p>
    <w:p w:rsidR="00000000" w:rsidDel="00000000" w:rsidP="00000000" w:rsidRDefault="00000000" w:rsidRPr="00000000" w14:paraId="00000018">
      <w:pPr>
        <w:numPr>
          <w:ilvl w:val="0"/>
          <w:numId w:val="3"/>
        </w:numPr>
        <w:spacing w:after="160" w:line="278.0000000000000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Dernek/vakıf/kooperatiflerin idari ve mali yönetimi ve/veya  kurumsal gelişim alanlarında deneyim sahibi olmak,</w:t>
      </w:r>
    </w:p>
    <w:p w:rsidR="00000000" w:rsidDel="00000000" w:rsidP="00000000" w:rsidRDefault="00000000" w:rsidRPr="00000000" w14:paraId="00000019">
      <w:pPr>
        <w:numPr>
          <w:ilvl w:val="0"/>
          <w:numId w:val="3"/>
        </w:numPr>
        <w:spacing w:after="160" w:line="278.0000000000000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Daha önce hak temelli çalışan sivil toplum örgütlerine yönelik açılmış hibe programlarının değerlendirme süreçlerinde yer almış olmak,</w:t>
      </w:r>
    </w:p>
    <w:p w:rsidR="00000000" w:rsidDel="00000000" w:rsidP="00000000" w:rsidRDefault="00000000" w:rsidRPr="00000000" w14:paraId="0000001A">
      <w:pPr>
        <w:numPr>
          <w:ilvl w:val="0"/>
          <w:numId w:val="3"/>
        </w:numPr>
        <w:spacing w:after="160" w:line="278.0000000000000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Afet Risk Yönetimi konusunda deneyimli olmak ve Türkiye’de yürütülen çalışmalar konusunda bilgili olmak. </w:t>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Değerlendiricinin Taahhüdü </w:t>
      </w:r>
    </w:p>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Başvurusu kabul edilen bağımsız değerlendiriciler, STGM ile imzalayacakları sözleşmeye ek olarak bir </w:t>
      </w:r>
      <w:r w:rsidDel="00000000" w:rsidR="00000000" w:rsidRPr="00000000">
        <w:rPr>
          <w:rFonts w:ascii="Times New Roman" w:cs="Times New Roman" w:eastAsia="Times New Roman" w:hAnsi="Times New Roman"/>
          <w:b w:val="1"/>
          <w:sz w:val="24"/>
          <w:szCs w:val="24"/>
          <w:rtl w:val="0"/>
        </w:rPr>
        <w:t xml:space="preserve">“Tarafsızlık ve Gizlilik Beyannamesi</w:t>
      </w:r>
      <w:r w:rsidDel="00000000" w:rsidR="00000000" w:rsidRPr="00000000">
        <w:rPr>
          <w:rFonts w:ascii="Times New Roman" w:cs="Times New Roman" w:eastAsia="Times New Roman" w:hAnsi="Times New Roman"/>
          <w:sz w:val="24"/>
          <w:szCs w:val="24"/>
          <w:rtl w:val="0"/>
        </w:rPr>
        <w:t xml:space="preserve">” imzalayacaklardır. Bu beyannamede Bağımsız Değerlendiriciler, başvuruların değerlendirilmesi ve seçilmesi aşamalarında tarafsız hareket edeceklerini ve başvuru ileten herhangi bir sivil toplum örgütü ile doğrudan veya dolaylı ilişki içinde olmadıklarını, herhangi bir başvurunun hazırlanmasında görev almadıklarını veya destek sağlamadıklarını beyan edeceklerdir. Bağımsız Değerlendiriciler, tarafsızlıklarını zedeleyecek bir gelişme halinde bunu hemen STGM’ye beyan etmelidirler. Ayrıca, Bağımsız Değerlendiriciler değerlendirme sürecinde elde etmiş oldukları her türlü bilgi ve belgeyi gizli tutacaklarını ve üçüncü kişilerle paylaşmayacaklarını beyan edeceklerdir. </w:t>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4.Değerlendiricinin Görev ve Sorumlulukları: </w:t>
      </w:r>
    </w:p>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Değerlendirme sürecinin farklı aşamalarında değerlendiriciden beklenen görev ve sorumluluklar aşağıdaki şekildedir: </w:t>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Değerlendirme Sureci 2. </w:t>
      </w:r>
      <w:r w:rsidDel="00000000" w:rsidR="00000000" w:rsidRPr="00000000">
        <w:rPr>
          <w:rFonts w:ascii="Times New Roman" w:cs="Times New Roman" w:eastAsia="Times New Roman" w:hAnsi="Times New Roman"/>
          <w:sz w:val="24"/>
          <w:szCs w:val="24"/>
          <w:rtl w:val="0"/>
        </w:rPr>
        <w:t xml:space="preserve">Aşama</w:t>
      </w:r>
      <w:r w:rsidDel="00000000" w:rsidR="00000000" w:rsidRPr="00000000">
        <w:rPr>
          <w:rFonts w:ascii="Times New Roman" w:cs="Times New Roman" w:eastAsia="Times New Roman" w:hAnsi="Times New Roman"/>
          <w:sz w:val="24"/>
          <w:szCs w:val="24"/>
          <w:rtl w:val="0"/>
        </w:rPr>
        <w:t xml:space="preserve"> (Başvuruların değerlendirilmesi ve kısa liste oluşturulması): Bağımsız değerlendiriciler “Afet Risk Yönetiminde Sivil Toplum Örgütlerinin Kapasitesinin Desteklenmesi Projesi (ARY) 2. Bileşeni “STÖ'ler için Afet Riskinin Azaltılması Alt Hibe Programı” çerçevesinde iletilen başvuruların Sözleşme Makamı tarafından sağlanacak değerlendirme rehberine ve program başvuru rehberinde yayınlanmış̧ olan değerlendirme tablosuna göre teknik ve finansal açıdan değerlendirmesini yapacaklar ve raporlayacaklardır.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başvurunun bir dış değerlendirici ve bir iç değerlendirici tarafından ayrı ayrı değerlendirmesinin yapılması gerekmektedir.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değerlendirme sonuçları ve hazırlanan değerlendirme formları Değerlendirme Komitesince en uygun başvuruların kısa listeye seçilmesinde öncelikli olarak referans alınacaktır. </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Bağımsız değerlendiricilerin gerekli görülen durumlarda Değerlendirme Komitesi ile görüşmesi ve değerlendirme süreci ile ilgili bilgi sunması beklenmektedir. </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Değerlendirme süreci uygulama adımlarına, temel prensiplere ve kullanılacak yönteme ilişkin detaylı bilgi değerlendiricilere sunulacak Değerlendirme Rehberinde ve eklerinde yer almaktadır. </w:t>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Çalışmanın Zamanlaması ve Yeri:</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Yazılı başvuruların değerlendirilmesi </w:t>
      </w:r>
      <w:r w:rsidDel="00000000" w:rsidR="00000000" w:rsidRPr="00000000">
        <w:rPr>
          <w:rFonts w:ascii="Times New Roman" w:cs="Times New Roman" w:eastAsia="Times New Roman" w:hAnsi="Times New Roman"/>
          <w:sz w:val="24"/>
          <w:szCs w:val="24"/>
          <w:rtl w:val="0"/>
        </w:rPr>
        <w:t xml:space="preserve">çevrimiçi</w:t>
      </w:r>
      <w:r w:rsidDel="00000000" w:rsidR="00000000" w:rsidRPr="00000000">
        <w:rPr>
          <w:rFonts w:ascii="Times New Roman" w:cs="Times New Roman" w:eastAsia="Times New Roman" w:hAnsi="Times New Roman"/>
          <w:sz w:val="24"/>
          <w:szCs w:val="24"/>
          <w:rtl w:val="0"/>
        </w:rPr>
        <w:t xml:space="preserve"> ortamda, dijital araçlarla yapılacaktır. Bağımsız değerlendiricilerin bu aşamada uzaktan çalışması beklenmektedir; ancak Sözleşme Makamının ve/veya Değerlendirme Komitesinin belirleyeceği tarihlerde uzmanlar yüz yüze toplantılar için STGM ofisine davet edilebilirler. </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Değerlendirme süreci için zaman planı aşağıdaki gibi öngörülmüştür:</w:t>
      </w:r>
    </w:p>
    <w:tbl>
      <w:tblPr>
        <w:tblStyle w:val="Table1"/>
        <w:tblW w:w="9270.0" w:type="dxa"/>
        <w:jc w:val="left"/>
        <w:tblLayout w:type="fixed"/>
        <w:tblLook w:val="0400"/>
      </w:tblPr>
      <w:tblGrid>
        <w:gridCol w:w="6585"/>
        <w:gridCol w:w="2685"/>
        <w:tblGridChange w:id="0">
          <w:tblGrid>
            <w:gridCol w:w="6585"/>
            <w:gridCol w:w="2685"/>
          </w:tblGrid>
        </w:tblGridChange>
      </w:tblGrid>
      <w:tr>
        <w:trPr>
          <w:cantSplit w:val="0"/>
          <w:tblHeader w:val="0"/>
        </w:trPr>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3B">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Değerlendirme aşaması</w:t>
            </w: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3C">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Tarih</w:t>
            </w:r>
            <w:r w:rsidDel="00000000" w:rsidR="00000000" w:rsidRPr="00000000">
              <w:rPr>
                <w:rtl w:val="0"/>
              </w:rPr>
            </w:r>
          </w:p>
        </w:tc>
      </w:tr>
      <w:tr>
        <w:trPr>
          <w:cantSplit w:val="0"/>
          <w:tblHeader w:val="0"/>
        </w:trPr>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3D">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Alt-Hibe Programına Başvuruların teslim edilmesi için son tarih</w:t>
            </w:r>
          </w:p>
        </w:tc>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3E">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11.10.2024/23.59</w:t>
            </w:r>
          </w:p>
        </w:tc>
      </w:tr>
      <w:tr>
        <w:trPr>
          <w:cantSplit w:val="0"/>
          <w:tblHeader w:val="0"/>
        </w:trPr>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3F">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1’inci ve 2’inci aşama değerlendirmelerin yapılması ve kısa listenin oluşturulması</w:t>
            </w:r>
          </w:p>
        </w:tc>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40">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16.10.2024 - 15.12.2024</w:t>
            </w:r>
          </w:p>
        </w:tc>
      </w:tr>
      <w:tr>
        <w:trPr>
          <w:cantSplit w:val="0"/>
          <w:tblHeader w:val="0"/>
        </w:trPr>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41">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3’üncü aşamanın tamamlanması ve nihai listenin oluşturulması</w:t>
            </w:r>
          </w:p>
        </w:tc>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42">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16.12.2024 - 23.12.2024</w:t>
            </w:r>
          </w:p>
        </w:tc>
      </w:tr>
      <w:tr>
        <w:trPr>
          <w:cantSplit w:val="0"/>
          <w:tblHeader w:val="0"/>
        </w:trPr>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43">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Nihai Sonuçların Başvuru Sahiplerine Bildirilmesi </w:t>
            </w:r>
          </w:p>
        </w:tc>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44">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26.12.2024</w:t>
            </w:r>
          </w:p>
        </w:tc>
      </w:tr>
      <w:tr>
        <w:trPr>
          <w:cantSplit w:val="0"/>
          <w:tblHeader w:val="0"/>
        </w:trPr>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45">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Sözleşmelerin İmzalanması ve Hibe Almaya Hak Kazanan STÖ’lerin İlan Edilmesi</w:t>
            </w:r>
          </w:p>
        </w:tc>
        <w:tc>
          <w:tcPr>
            <w:tcBorders>
              <w:top w:color="ed7d31" w:space="0" w:sz="4" w:val="single"/>
              <w:left w:color="ed7d31" w:space="0" w:sz="4" w:val="single"/>
              <w:bottom w:color="ed7d31" w:space="0" w:sz="4" w:val="single"/>
              <w:right w:color="ed7d31" w:space="0" w:sz="4" w:val="single"/>
            </w:tcBorders>
            <w:shd w:fill="fbe5d5" w:val="clear"/>
            <w:tcMar>
              <w:top w:w="0.0" w:type="dxa"/>
              <w:left w:w="115.0" w:type="dxa"/>
              <w:bottom w:w="0.0" w:type="dxa"/>
              <w:right w:w="115.0" w:type="dxa"/>
            </w:tcMar>
            <w:vAlign w:val="center"/>
          </w:tcPr>
          <w:p w:rsidR="00000000" w:rsidDel="00000000" w:rsidP="00000000" w:rsidRDefault="00000000" w:rsidRPr="00000000" w14:paraId="00000046">
            <w:pPr>
              <w:spacing w:after="160" w:line="27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06.01.2025 - 17.01.2025</w:t>
            </w:r>
          </w:p>
        </w:tc>
      </w:tr>
    </w:tbl>
    <w:p w:rsidR="00000000" w:rsidDel="00000000" w:rsidP="00000000" w:rsidRDefault="00000000" w:rsidRPr="00000000" w14:paraId="00000047">
      <w:pPr>
        <w:spacing w:after="160" w:line="278.0000000000000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Ödeme ve Değerlendiricilerin Sunacağı Raporlar:</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Değerlendiriciler değerlendirdikleri her başvuru için bir dijital değerlendirme raporu hazırlayacaklardır. </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w:t>
      </w:r>
      <w:r w:rsidDel="00000000" w:rsidR="00000000" w:rsidRPr="00000000">
        <w:rPr>
          <w:rFonts w:ascii="Times New Roman" w:cs="Times New Roman" w:eastAsia="Times New Roman" w:hAnsi="Times New Roman"/>
          <w:sz w:val="24"/>
          <w:szCs w:val="24"/>
          <w:rtl w:val="0"/>
        </w:rPr>
        <w:t xml:space="preserve">ngörülen çalışmalar tamamlandıktan sonra değerlendiricinin hazırlayacağı zaman çizelgesinin STGM’ye iletilmesi ve onaylanmasının ardından ödemeler en geç 1 hafta içinde yapılır. </w:t>
      </w:r>
      <w:r w:rsidDel="00000000" w:rsidR="00000000" w:rsidRPr="00000000">
        <w:rPr>
          <w:rFonts w:ascii="Times New Roman" w:cs="Times New Roman" w:eastAsia="Times New Roman" w:hAnsi="Times New Roman"/>
          <w:sz w:val="24"/>
          <w:szCs w:val="24"/>
          <w:rtl w:val="0"/>
        </w:rPr>
        <w:t xml:space="preserve">Zaman çizelgesinde bir çalışma gününe karşılık gelen mesainin raporlanabilmesi için en az 3 değerlendirmenin tamamlanmış olması gerekmektedir. Çalışma koşulları ve karşılıklı yasal yükümlülükler görev tanımının ekinde yer alan sözleşmede belirtilir. </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ind w:right="360"/>
      <w:rPr/>
    </w:pPr>
    <w:r w:rsidDel="00000000" w:rsidR="00000000" w:rsidRPr="00000000">
      <w:rPr/>
      <w:drawing>
        <wp:inline distB="114300" distT="114300" distL="114300" distR="114300">
          <wp:extent cx="5476875" cy="372601"/>
          <wp:effectExtent b="0" l="0" r="0" t="0"/>
          <wp:docPr id="1866281365" name="image1.png"/>
          <a:graphic>
            <a:graphicData uri="http://schemas.openxmlformats.org/drawingml/2006/picture">
              <pic:pic>
                <pic:nvPicPr>
                  <pic:cNvPr id="0" name="image1.png"/>
                  <pic:cNvPicPr preferRelativeResize="0"/>
                </pic:nvPicPr>
                <pic:blipFill>
                  <a:blip r:embed="rId1"/>
                  <a:srcRect b="4662" l="4485" r="0" t="90768"/>
                  <a:stretch>
                    <a:fillRect/>
                  </a:stretch>
                </pic:blipFill>
                <pic:spPr>
                  <a:xfrm>
                    <a:off x="0" y="0"/>
                    <a:ext cx="5476875" cy="372601"/>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5476875" cy="372601"/>
          <wp:effectExtent b="0" l="0" r="0" t="0"/>
          <wp:docPr descr="metin, ekran görüntüsü, yazı tipi, tasarım içeren bir resim&#10;&#10;Açıklama otomatik olarak oluşturuldu" id="1866281367" name="image1.png"/>
          <a:graphic>
            <a:graphicData uri="http://schemas.openxmlformats.org/drawingml/2006/picture">
              <pic:pic>
                <pic:nvPicPr>
                  <pic:cNvPr descr="metin, ekran görüntüsü, yazı tipi, tasarım içeren bir resim&#10;&#10;Açıklama otomatik olarak oluşturuldu" id="0" name="image1.png"/>
                  <pic:cNvPicPr preferRelativeResize="0"/>
                </pic:nvPicPr>
                <pic:blipFill>
                  <a:blip r:embed="rId1"/>
                  <a:srcRect b="4662" l="4485" r="0" t="90768"/>
                  <a:stretch>
                    <a:fillRect/>
                  </a:stretch>
                </pic:blipFill>
                <pic:spPr>
                  <a:xfrm>
                    <a:off x="0" y="0"/>
                    <a:ext cx="5476875" cy="37260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drawing>
        <wp:inline distB="114300" distT="114300" distL="114300" distR="114300">
          <wp:extent cx="5476875" cy="981075"/>
          <wp:effectExtent b="0" l="0" r="0" t="0"/>
          <wp:docPr id="1866281364" name="image1.png"/>
          <a:graphic>
            <a:graphicData uri="http://schemas.openxmlformats.org/drawingml/2006/picture">
              <pic:pic>
                <pic:nvPicPr>
                  <pic:cNvPr id="0" name="image1.png"/>
                  <pic:cNvPicPr preferRelativeResize="0"/>
                </pic:nvPicPr>
                <pic:blipFill>
                  <a:blip r:embed="rId1"/>
                  <a:srcRect b="85781" l="995" r="3485" t="2115"/>
                  <a:stretch>
                    <a:fillRect/>
                  </a:stretch>
                </pic:blipFill>
                <pic:spPr>
                  <a:xfrm>
                    <a:off x="0" y="0"/>
                    <a:ext cx="5476875" cy="9810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5476875" cy="981075"/>
          <wp:effectExtent b="0" l="0" r="0" t="0"/>
          <wp:docPr descr="metin, ekran görüntüsü, yazı tipi, tasarım içeren bir resim&#10;&#10;Açıklama otomatik olarak oluşturuldu" id="1866281366" name="image1.png"/>
          <a:graphic>
            <a:graphicData uri="http://schemas.openxmlformats.org/drawingml/2006/picture">
              <pic:pic>
                <pic:nvPicPr>
                  <pic:cNvPr descr="metin, ekran görüntüsü, yazı tipi, tasarım içeren bir resim&#10;&#10;Açıklama otomatik olarak oluşturuldu" id="0" name="image1.png"/>
                  <pic:cNvPicPr preferRelativeResize="0"/>
                </pic:nvPicPr>
                <pic:blipFill>
                  <a:blip r:embed="rId1"/>
                  <a:srcRect b="85781" l="995" r="3485" t="2115"/>
                  <a:stretch>
                    <a:fillRect/>
                  </a:stretch>
                </pic:blipFill>
                <pic:spPr>
                  <a:xfrm>
                    <a:off x="0" y="0"/>
                    <a:ext cx="5476875" cy="981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Balk1">
    <w:name w:val="heading 1"/>
    <w:basedOn w:val="Normal"/>
    <w:next w:val="Normal"/>
    <w:uiPriority w:val="9"/>
    <w:qFormat w:val="1"/>
    <w:pPr>
      <w:keepNext w:val="1"/>
      <w:keepLines w:val="1"/>
      <w:spacing w:after="120" w:before="400"/>
      <w:outlineLvl w:val="0"/>
    </w:pPr>
    <w:rPr>
      <w:sz w:val="40"/>
      <w:szCs w:val="40"/>
    </w:rPr>
  </w:style>
  <w:style w:type="paragraph" w:styleId="Bal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Bal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Bal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Bal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Bal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ltyaz">
    <w:name w:val="Subtitle"/>
    <w:basedOn w:val="Normal"/>
    <w:next w:val="Normal"/>
    <w:uiPriority w:val="11"/>
    <w:qFormat w:val="1"/>
    <w:pPr>
      <w:keepNext w:val="1"/>
      <w:keepLines w:val="1"/>
      <w:spacing w:after="320"/>
    </w:pPr>
    <w:rPr>
      <w:color w:val="666666"/>
      <w:sz w:val="30"/>
      <w:szCs w:val="30"/>
    </w:rPr>
  </w:style>
  <w:style w:type="paragraph" w:styleId="AltBilgi">
    <w:name w:val="footer"/>
    <w:basedOn w:val="Normal"/>
    <w:link w:val="AltBilgiChar"/>
    <w:uiPriority w:val="99"/>
    <w:unhideWhenUsed w:val="1"/>
    <w:rsid w:val="00144494"/>
    <w:pPr>
      <w:tabs>
        <w:tab w:val="center" w:pos="4680"/>
        <w:tab w:val="right" w:pos="9360"/>
      </w:tabs>
      <w:spacing w:line="240" w:lineRule="auto"/>
    </w:pPr>
  </w:style>
  <w:style w:type="character" w:styleId="AltBilgiChar" w:customStyle="1">
    <w:name w:val="Alt Bilgi Char"/>
    <w:basedOn w:val="VarsaylanParagrafYazTipi"/>
    <w:link w:val="AltBilgi"/>
    <w:uiPriority w:val="99"/>
    <w:rsid w:val="00144494"/>
  </w:style>
  <w:style w:type="character" w:styleId="SayfaNumaras">
    <w:name w:val="page number"/>
    <w:basedOn w:val="VarsaylanParagrafYazTipi"/>
    <w:uiPriority w:val="99"/>
    <w:semiHidden w:val="1"/>
    <w:unhideWhenUsed w:val="1"/>
    <w:rsid w:val="00144494"/>
  </w:style>
  <w:style w:type="paragraph" w:styleId="ListeParagraf">
    <w:name w:val="List Paragraph"/>
    <w:basedOn w:val="Normal"/>
    <w:uiPriority w:val="34"/>
    <w:qFormat w:val="1"/>
    <w:rsid w:val="002F5A31"/>
    <w:pPr>
      <w:ind w:left="720"/>
      <w:contextualSpacing w:val="1"/>
    </w:pPr>
  </w:style>
  <w:style w:type="table" w:styleId="a" w:customStyle="1">
    <w:basedOn w:val="NormalTablo"/>
    <w:tblPr>
      <w:tblStyleRowBandSize w:val="1"/>
      <w:tblStyleColBandSize w:val="1"/>
      <w:tblCellMar>
        <w:left w:w="115.0" w:type="dxa"/>
        <w:right w:w="115.0" w:type="dxa"/>
      </w:tblCellMar>
    </w:tblPr>
  </w:style>
  <w:style w:type="table" w:styleId="a0" w:customStyle="1">
    <w:basedOn w:val="NormalTablo"/>
    <w:tblPr>
      <w:tblStyleRowBandSize w:val="1"/>
      <w:tblStyleColBandSize w:val="1"/>
      <w:tblCellMar>
        <w:left w:w="115.0" w:type="dxa"/>
        <w:right w:w="115.0" w:type="dxa"/>
      </w:tblCellMar>
    </w:tblPr>
  </w:style>
  <w:style w:type="table" w:styleId="a1" w:customStyle="1">
    <w:basedOn w:val="NormalTablo"/>
    <w:tblPr>
      <w:tblStyleRowBandSize w:val="1"/>
      <w:tblStyleColBandSize w:val="1"/>
      <w:tblCellMar>
        <w:left w:w="115.0" w:type="dxa"/>
        <w:right w:w="115.0" w:type="dxa"/>
      </w:tblCellMar>
    </w:tblPr>
  </w:style>
  <w:style w:type="table" w:styleId="a2" w:customStyle="1">
    <w:basedOn w:val="NormalTablo"/>
    <w:tblPr>
      <w:tblStyleRowBandSize w:val="1"/>
      <w:tblStyleColBandSize w:val="1"/>
      <w:tblCellMar>
        <w:left w:w="115.0" w:type="dxa"/>
        <w:right w:w="115.0" w:type="dxa"/>
      </w:tblCellMar>
    </w:tblPr>
  </w:style>
  <w:style w:type="table" w:styleId="a3" w:customStyle="1">
    <w:basedOn w:val="NormalTablo"/>
    <w:tblPr>
      <w:tblStyleRowBandSize w:val="1"/>
      <w:tblStyleColBandSize w:val="1"/>
      <w:tblCellMar>
        <w:left w:w="115.0" w:type="dxa"/>
        <w:right w:w="115.0" w:type="dxa"/>
      </w:tblCellMar>
    </w:tblPr>
  </w:style>
  <w:style w:type="table" w:styleId="a4" w:customStyle="1">
    <w:basedOn w:val="NormalTablo"/>
    <w:tblPr>
      <w:tblStyleRowBandSize w:val="1"/>
      <w:tblStyleColBandSize w:val="1"/>
      <w:tblCellMar>
        <w:left w:w="115.0" w:type="dxa"/>
        <w:right w:w="115.0" w:type="dxa"/>
      </w:tblCellMar>
    </w:tblPr>
  </w:style>
  <w:style w:type="paragraph" w:styleId="Dzeltme">
    <w:name w:val="Revision"/>
    <w:hidden w:val="1"/>
    <w:uiPriority w:val="99"/>
    <w:semiHidden w:val="1"/>
    <w:rsid w:val="00A639FD"/>
    <w:pPr>
      <w:spacing w:line="240" w:lineRule="auto"/>
    </w:p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left w:w="115.0" w:type="dxa"/>
        <w:right w:w="115.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15.0" w:type="dxa"/>
        <w:right w:w="115.0" w:type="dxa"/>
      </w:tblCellMar>
    </w:tblPr>
  </w:style>
  <w:style w:type="table" w:styleId="a9" w:customStyle="1">
    <w:basedOn w:val="TableNormal0"/>
    <w:tblPr>
      <w:tblStyleRowBandSize w:val="1"/>
      <w:tblStyleColBandSize w:val="1"/>
      <w:tblCellMar>
        <w:left w:w="115.0" w:type="dxa"/>
        <w:right w:w="115.0" w:type="dxa"/>
      </w:tblCellMar>
    </w:tblPr>
  </w:style>
  <w:style w:type="paragraph" w:styleId="AralkYok">
    <w:name w:val="No Spacing"/>
    <w:link w:val="AralkYokChar"/>
    <w:uiPriority w:val="1"/>
    <w:qFormat w:val="1"/>
    <w:rsid w:val="00B56F31"/>
    <w:pPr>
      <w:spacing w:line="240" w:lineRule="auto"/>
    </w:pPr>
    <w:rPr>
      <w:rFonts w:asciiTheme="minorHAnsi" w:cstheme="minorBidi" w:eastAsiaTheme="minorEastAsia" w:hAnsiTheme="minorHAnsi"/>
      <w:lang w:eastAsia="zh-CN" w:val="en-US"/>
    </w:rPr>
  </w:style>
  <w:style w:type="character" w:styleId="AralkYokChar" w:customStyle="1">
    <w:name w:val="Aralık Yok Char"/>
    <w:basedOn w:val="VarsaylanParagrafYazTipi"/>
    <w:link w:val="AralkYok"/>
    <w:uiPriority w:val="1"/>
    <w:rsid w:val="00B56F31"/>
    <w:rPr>
      <w:rFonts w:asciiTheme="minorHAnsi" w:cstheme="minorBidi" w:eastAsiaTheme="minorEastAsia" w:hAnsiTheme="minorHAnsi"/>
      <w:lang w:eastAsia="zh-CN" w:val="en-US"/>
    </w:rPr>
  </w:style>
  <w:style w:type="paragraph" w:styleId="stBilgi">
    <w:name w:val="header"/>
    <w:basedOn w:val="Normal"/>
    <w:link w:val="stBilgiChar"/>
    <w:uiPriority w:val="99"/>
    <w:unhideWhenUsed w:val="1"/>
    <w:rsid w:val="007404BE"/>
    <w:pPr>
      <w:tabs>
        <w:tab w:val="center" w:pos="4536"/>
        <w:tab w:val="right" w:pos="9072"/>
      </w:tabs>
      <w:spacing w:line="240" w:lineRule="auto"/>
    </w:pPr>
  </w:style>
  <w:style w:type="character" w:styleId="stBilgiChar" w:customStyle="1">
    <w:name w:val="Üst Bilgi Char"/>
    <w:basedOn w:val="VarsaylanParagrafYazTipi"/>
    <w:link w:val="stBilgi"/>
    <w:uiPriority w:val="99"/>
    <w:rsid w:val="007404BE"/>
  </w:style>
  <w:style w:type="paragraph" w:styleId="NormalWeb">
    <w:name w:val="Normal (Web)"/>
    <w:basedOn w:val="Normal"/>
    <w:uiPriority w:val="99"/>
    <w:semiHidden w:val="1"/>
    <w:unhideWhenUsed w:val="1"/>
    <w:rsid w:val="007404BE"/>
    <w:rPr>
      <w:rFonts w:ascii="Times New Roman" w:cs="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Yf0murlfgJCu4BqznUaJtsQ7Q==">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2024-09-23T10:19:00Z</dcterms:created>
</cp:coreProperties>
</file>